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9250" w:type="dxa"/>
        <w:tblLayout w:type="fixed"/>
        <w:tblLook w:val="04A0" w:firstRow="1" w:lastRow="0" w:firstColumn="1" w:lastColumn="0" w:noHBand="0" w:noVBand="1"/>
      </w:tblPr>
      <w:tblGrid>
        <w:gridCol w:w="1101"/>
        <w:gridCol w:w="8149"/>
      </w:tblGrid>
      <w:tr w:rsidR="00E94C74" w:rsidRPr="00E94C74" w:rsidTr="00E94C74">
        <w:tc>
          <w:tcPr>
            <w:tcW w:w="1101" w:type="dxa"/>
          </w:tcPr>
          <w:p w:rsidR="00E94C74" w:rsidRPr="00E94C74" w:rsidRDefault="00E94C74" w:rsidP="00E94C74">
            <w:pPr>
              <w:ind w:left="0"/>
              <w:rPr>
                <w:rFonts w:asciiTheme="minorHAnsi" w:hAnsiTheme="minorHAnsi"/>
              </w:rPr>
            </w:pPr>
            <w:bookmarkStart w:id="0" w:name="_GoBack"/>
            <w:bookmarkEnd w:id="0"/>
            <w:r w:rsidRPr="00E94C74">
              <w:rPr>
                <w:rFonts w:asciiTheme="minorHAnsi" w:hAnsiTheme="minorHAnsi"/>
              </w:rPr>
              <w:t>P. č.</w:t>
            </w:r>
          </w:p>
        </w:tc>
        <w:tc>
          <w:tcPr>
            <w:tcW w:w="8149" w:type="dxa"/>
          </w:tcPr>
          <w:p w:rsidR="00E94C74" w:rsidRPr="00E94C74" w:rsidRDefault="00E94C74" w:rsidP="00E94C74">
            <w:pPr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sz w:val="24"/>
              </w:rPr>
              <w:t xml:space="preserve">                    </w:t>
            </w:r>
            <w:r>
              <w:rPr>
                <w:rFonts w:asciiTheme="minorHAnsi" w:hAnsiTheme="minorHAnsi"/>
                <w:sz w:val="24"/>
              </w:rPr>
              <w:t xml:space="preserve">               </w:t>
            </w:r>
            <w:r w:rsidRPr="00E94C74">
              <w:rPr>
                <w:rFonts w:asciiTheme="minorHAnsi" w:hAnsiTheme="minorHAnsi"/>
                <w:sz w:val="24"/>
              </w:rPr>
              <w:t>Spôsob dokladovania</w:t>
            </w:r>
          </w:p>
        </w:tc>
      </w:tr>
      <w:tr w:rsidR="00E94C74" w:rsidRPr="00E94C74" w:rsidTr="00E94C74">
        <w:tc>
          <w:tcPr>
            <w:tcW w:w="1101" w:type="dxa"/>
          </w:tcPr>
          <w:p w:rsidR="00E94C74" w:rsidRPr="00E94C74" w:rsidRDefault="00E94C74">
            <w:pPr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</w:rPr>
              <w:t>1.</w:t>
            </w:r>
          </w:p>
        </w:tc>
        <w:tc>
          <w:tcPr>
            <w:tcW w:w="8149" w:type="dxa"/>
          </w:tcPr>
          <w:p w:rsidR="00E94C74" w:rsidRPr="00E94C74" w:rsidRDefault="00E94C74" w:rsidP="00E94C74">
            <w:pPr>
              <w:spacing w:after="98"/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sz w:val="24"/>
              </w:rPr>
              <w:t xml:space="preserve">Doklad o zabezpečení spolufinancovania projektu </w:t>
            </w:r>
          </w:p>
          <w:p w:rsidR="00E94C74" w:rsidRPr="00E94C74" w:rsidRDefault="00E94C74" w:rsidP="00E94C74">
            <w:pPr>
              <w:spacing w:after="118"/>
              <w:ind w:left="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  <w:u w:val="single" w:color="000000"/>
              </w:rPr>
              <w:t>V prípade subjektov verejnej správy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predkladá žiadateľ</w:t>
            </w:r>
            <w:r w:rsidR="00BA7056">
              <w:rPr>
                <w:rFonts w:asciiTheme="minorHAnsi" w:hAnsiTheme="minorHAnsi"/>
                <w:b w:val="0"/>
                <w:sz w:val="24"/>
              </w:rPr>
              <w:t>/partner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uznesenie (výpis z uznesenia) zastupiteľstva obce/mesta</w:t>
            </w:r>
            <w:r w:rsidRPr="0084015D">
              <w:rPr>
                <w:rFonts w:asciiTheme="minorHAnsi" w:hAnsiTheme="minorHAnsi"/>
                <w:b w:val="0"/>
                <w:sz w:val="24"/>
              </w:rPr>
              <w:t>/kraja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o tom, že zastupiteľstvo schvaľuje: </w:t>
            </w:r>
          </w:p>
          <w:p w:rsidR="00E94C74" w:rsidRPr="00E94C74" w:rsidRDefault="00E94C74" w:rsidP="00E94C74">
            <w:pPr>
              <w:spacing w:after="120"/>
              <w:ind w:left="0" w:right="106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▪ predloženie žiadosti o NFP za účelom realizácie projektu „...názov projektu...“, ktorého ciele sú  v súlade s platným územným plánom obce/mesta v SR resp. s platným plánom rozvoja kraja v ČR a programom hospodárskeho rozvoja a sociálneho rozvoja kraja v SR; </w:t>
            </w:r>
          </w:p>
          <w:p w:rsidR="00E94C74" w:rsidRPr="00E94C74" w:rsidRDefault="00E94C74" w:rsidP="00E94C74">
            <w:pPr>
              <w:spacing w:after="96"/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▪ zabezpečenie realizácie projektu v súlade s podmienkami poskytnutia pomoci; </w:t>
            </w:r>
          </w:p>
          <w:p w:rsidR="00E94C74" w:rsidRPr="00E94C74" w:rsidRDefault="00E94C74" w:rsidP="00E94C74">
            <w:pPr>
              <w:spacing w:after="120"/>
              <w:ind w:left="0" w:right="112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▪ zabezpečenie finančných prostriedkov na spolufinancovanie realizovaného projektu vo výške rozdielu celkových výdavkov projektu a poskytnutého NFP v súlade s podmienkami poskytnutia pomoci</w:t>
            </w:r>
            <w:r w:rsidR="0084015D">
              <w:rPr>
                <w:rFonts w:asciiTheme="minorHAnsi" w:hAnsiTheme="minorHAnsi"/>
                <w:b w:val="0"/>
                <w:sz w:val="24"/>
              </w:rPr>
              <w:t xml:space="preserve"> (potrebné uviesť konkrétnu sumu)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. </w:t>
            </w:r>
          </w:p>
          <w:p w:rsidR="00E94C74" w:rsidRPr="00E94C74" w:rsidRDefault="00E94C74" w:rsidP="00E94C74">
            <w:pPr>
              <w:spacing w:after="2" w:line="238" w:lineRule="auto"/>
              <w:ind w:left="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 xml:space="preserve">Uvedenú prílohu predkladajú aj žiadatelia, ktorí na spolufinancovanie projektu dostali finančný príspevok od obce/mesta/kraja.  </w:t>
            </w:r>
          </w:p>
          <w:p w:rsidR="00E94C74" w:rsidRPr="00E94C74" w:rsidRDefault="00E94C74" w:rsidP="00E94C74">
            <w:pPr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 xml:space="preserve"> </w:t>
            </w:r>
          </w:p>
          <w:p w:rsidR="00E94C74" w:rsidRPr="00E94C74" w:rsidRDefault="00E94C74" w:rsidP="00E94C74">
            <w:pPr>
              <w:spacing w:after="118"/>
              <w:ind w:left="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  <w:u w:val="single" w:color="000000"/>
              </w:rPr>
              <w:t>V prípade žiadateľov</w:t>
            </w:r>
            <w:r w:rsidR="00BA7056">
              <w:rPr>
                <w:rFonts w:asciiTheme="minorHAnsi" w:hAnsiTheme="minorHAnsi"/>
                <w:b w:val="0"/>
                <w:sz w:val="24"/>
                <w:u w:val="single" w:color="000000"/>
              </w:rPr>
              <w:t>/partnerov</w:t>
            </w:r>
            <w:r w:rsidRPr="00E94C74">
              <w:rPr>
                <w:rFonts w:asciiTheme="minorHAnsi" w:hAnsiTheme="minorHAnsi"/>
                <w:b w:val="0"/>
                <w:sz w:val="24"/>
                <w:u w:val="single" w:color="000000"/>
              </w:rPr>
              <w:t xml:space="preserve"> zo súkromného sektora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(relevantné iba pre prioritnú os 1) žiadateľ preukazuje zabezpečenie týmito dokladmi: </w:t>
            </w:r>
          </w:p>
          <w:p w:rsidR="00E94C74" w:rsidRPr="00E94C74" w:rsidRDefault="00E94C74" w:rsidP="00E94C74">
            <w:pPr>
              <w:spacing w:after="98"/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▪ výpis z bankového účtu (nie staršie ako 3 mesiace ku dňu predloženia), alebo </w:t>
            </w:r>
          </w:p>
          <w:p w:rsidR="00E94C74" w:rsidRPr="00E94C74" w:rsidRDefault="00E94C74" w:rsidP="00E94C74">
            <w:pPr>
              <w:spacing w:after="120"/>
              <w:ind w:left="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▪ potvrdenie komerčnej banky, že žiadateľ disponuje požadovanou výškou finančných prostriedkov (nie staršie ako 3 mesiac ku dňu predloženia), alebo </w:t>
            </w:r>
          </w:p>
          <w:p w:rsidR="00E94C74" w:rsidRPr="00E94C74" w:rsidRDefault="00E94C74" w:rsidP="00E94C74">
            <w:pPr>
              <w:spacing w:after="2" w:line="342" w:lineRule="auto"/>
              <w:ind w:left="0" w:right="1623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▪ záväzný úverový prísľub (nie starší ako 3 mesiace ku dňu predloženia), alebo ▪ úverovú zmluvu. </w:t>
            </w:r>
          </w:p>
          <w:p w:rsidR="00E94C74" w:rsidRPr="00E94C74" w:rsidRDefault="00E94C74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Ostatní žiadatelia</w:t>
            </w:r>
            <w:r w:rsidR="00BA7056">
              <w:rPr>
                <w:rFonts w:asciiTheme="minorHAnsi" w:hAnsiTheme="minorHAnsi"/>
                <w:b w:val="0"/>
                <w:sz w:val="24"/>
              </w:rPr>
              <w:t>/partneri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sa zaväzujú zabezpečiť spolufinancovanie projektu formou čestného vyhl</w:t>
            </w:r>
            <w:r w:rsidR="006D7785">
              <w:rPr>
                <w:rFonts w:asciiTheme="minorHAnsi" w:hAnsiTheme="minorHAnsi"/>
                <w:b w:val="0"/>
                <w:sz w:val="24"/>
              </w:rPr>
              <w:t>ásenia, ktoré tvorí prílohu č. 5a/5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b k žiadosti o NFP.  </w:t>
            </w:r>
          </w:p>
          <w:p w:rsidR="00E94C74" w:rsidRPr="00E94C74" w:rsidRDefault="00E94C74" w:rsidP="00E94C74">
            <w:pPr>
              <w:rPr>
                <w:rFonts w:asciiTheme="minorHAnsi" w:hAnsiTheme="minorHAnsi"/>
              </w:rPr>
            </w:pPr>
          </w:p>
        </w:tc>
      </w:tr>
      <w:tr w:rsidR="00E94C74" w:rsidRPr="00E94C74" w:rsidTr="00E94C74">
        <w:tc>
          <w:tcPr>
            <w:tcW w:w="1101" w:type="dxa"/>
          </w:tcPr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</w:rPr>
              <w:t>2a.</w:t>
            </w:r>
          </w:p>
        </w:tc>
        <w:tc>
          <w:tcPr>
            <w:tcW w:w="8149" w:type="dxa"/>
          </w:tcPr>
          <w:p w:rsidR="00E94C74" w:rsidRPr="00E94C74" w:rsidRDefault="00E94C74" w:rsidP="00E94C74">
            <w:pPr>
              <w:spacing w:after="98"/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sz w:val="24"/>
              </w:rPr>
              <w:t xml:space="preserve">Doklad preukazujúci majetkovo-právne vzťahy (vo vzťahu k realizácii aktivít projektu) pre </w:t>
            </w:r>
            <w:r w:rsidR="00463915">
              <w:rPr>
                <w:rFonts w:asciiTheme="minorHAnsi" w:hAnsiTheme="minorHAnsi"/>
                <w:sz w:val="24"/>
              </w:rPr>
              <w:t>žiadateľov/</w:t>
            </w:r>
            <w:r w:rsidRPr="00E94C74">
              <w:rPr>
                <w:rFonts w:asciiTheme="minorHAnsi" w:hAnsiTheme="minorHAnsi"/>
                <w:sz w:val="24"/>
              </w:rPr>
              <w:t>partnerov zo SR</w:t>
            </w:r>
          </w:p>
          <w:p w:rsidR="00E94C74" w:rsidRDefault="00E94C74" w:rsidP="00E94C74">
            <w:pPr>
              <w:spacing w:after="121" w:line="239" w:lineRule="auto"/>
              <w:ind w:left="0" w:right="104"/>
              <w:jc w:val="both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Nehnuteľnosti (pozemky a stavby) a hnuteľné veci, prostredníctvom ktorých dochádza k realizácii projektu (týka sa aj reštaurátorských prác v rámci obnovy historických objektov a prípadnej obnovy zelene), musia byť vo výlučnom vlastníctve žiadateľa/partnera, alebo musí žiadateľ/partner mať k predmetným nehnuteľnostiam a hnuteľným veciam iné právo, na základe ktorého je oprávnený užívať všetky nehnuteľnosti a hnuteľné veci, na ktorých má byť projekt realizovaný. Túto podmienku poskytnutia príspevku musí žiadateľ/partner spĺňať počas realizácie projektu a zároveň počas obdobia udržateľnosti projektu, t. j. 5 rokov po finančnom ukončení projektu. </w:t>
            </w:r>
          </w:p>
          <w:p w:rsidR="00E94C74" w:rsidRDefault="00E94C74" w:rsidP="00E94C74">
            <w:pPr>
              <w:spacing w:after="98"/>
              <w:ind w:left="0"/>
              <w:jc w:val="both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Realizovaný projekt musí spĺňať niektorú z uvedených možností: </w:t>
            </w:r>
          </w:p>
          <w:p w:rsidR="00A26AF4" w:rsidRDefault="00981922" w:rsidP="00E94C74">
            <w:pPr>
              <w:spacing w:after="98"/>
              <w:ind w:left="0"/>
              <w:jc w:val="both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>A</w:t>
            </w:r>
            <w:r w:rsidR="009632F7" w:rsidRPr="009632F7">
              <w:rPr>
                <w:rFonts w:asciiTheme="minorHAnsi" w:hAnsiTheme="minorHAnsi"/>
                <w:b w:val="0"/>
                <w:sz w:val="24"/>
              </w:rPr>
              <w:t xml:space="preserve">) </w:t>
            </w:r>
            <w:r w:rsidR="009632F7" w:rsidRPr="00981922">
              <w:rPr>
                <w:rFonts w:asciiTheme="minorHAnsi" w:hAnsiTheme="minorHAnsi"/>
                <w:b w:val="0"/>
                <w:i/>
                <w:sz w:val="24"/>
              </w:rPr>
              <w:t xml:space="preserve">žiadateľ/partner </w:t>
            </w:r>
            <w:r w:rsidRPr="00981922">
              <w:rPr>
                <w:rFonts w:asciiTheme="minorHAnsi" w:hAnsiTheme="minorHAnsi"/>
                <w:b w:val="0"/>
                <w:i/>
                <w:sz w:val="24"/>
              </w:rPr>
              <w:t>je vlastníkom nehnuteľností (pozemkov alebo stavby)</w:t>
            </w:r>
            <w:r>
              <w:rPr>
                <w:rFonts w:asciiTheme="minorHAnsi" w:hAnsiTheme="minorHAnsi"/>
                <w:b w:val="0"/>
                <w:sz w:val="24"/>
              </w:rPr>
              <w:t>, na ktorých má byť realizovaný investičný projekt. V takomto prípade sa vlastníctvo overuje pracovníkmi STS prostredníctvom verejného portálu Oversi.sk</w:t>
            </w:r>
            <w:r w:rsidR="00541291">
              <w:rPr>
                <w:rFonts w:asciiTheme="minorHAnsi" w:hAnsiTheme="minorHAnsi"/>
                <w:b w:val="0"/>
                <w:sz w:val="24"/>
              </w:rPr>
              <w:t xml:space="preserve"> na základe údajov uvedených v prílohe č. 6a Žiadosti o NFP – Čestné prehlásenie partnera</w:t>
            </w:r>
            <w:r>
              <w:rPr>
                <w:rFonts w:asciiTheme="minorHAnsi" w:hAnsiTheme="minorHAnsi"/>
                <w:b w:val="0"/>
                <w:sz w:val="24"/>
              </w:rPr>
              <w:t xml:space="preserve">. </w:t>
            </w:r>
            <w:r>
              <w:rPr>
                <w:rFonts w:asciiTheme="minorHAnsi" w:hAnsiTheme="minorHAnsi"/>
                <w:b w:val="0"/>
                <w:sz w:val="24"/>
              </w:rPr>
              <w:lastRenderedPageBreak/>
              <w:t>Žiadateľ</w:t>
            </w:r>
            <w:r w:rsidR="000565FA">
              <w:rPr>
                <w:rFonts w:asciiTheme="minorHAnsi" w:hAnsiTheme="minorHAnsi"/>
                <w:b w:val="0"/>
                <w:sz w:val="24"/>
              </w:rPr>
              <w:t>/partner</w:t>
            </w:r>
            <w:r>
              <w:rPr>
                <w:rFonts w:asciiTheme="minorHAnsi" w:hAnsiTheme="minorHAnsi"/>
                <w:b w:val="0"/>
                <w:sz w:val="24"/>
              </w:rPr>
              <w:t xml:space="preserve"> už nie je povin</w:t>
            </w:r>
            <w:r w:rsidR="00541291">
              <w:rPr>
                <w:rFonts w:asciiTheme="minorHAnsi" w:hAnsiTheme="minorHAnsi"/>
                <w:b w:val="0"/>
                <w:sz w:val="24"/>
              </w:rPr>
              <w:t>ný predkladať listy vlastníctva.</w:t>
            </w:r>
            <w:r w:rsidR="00A63C37"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  <w:p w:rsidR="00981922" w:rsidRDefault="00981922" w:rsidP="00E94C74">
            <w:pPr>
              <w:spacing w:after="98"/>
              <w:ind w:left="0"/>
              <w:jc w:val="both"/>
              <w:rPr>
                <w:rFonts w:asciiTheme="minorHAnsi" w:hAnsiTheme="minorHAnsi"/>
                <w:b w:val="0"/>
                <w:sz w:val="24"/>
              </w:rPr>
            </w:pPr>
          </w:p>
          <w:p w:rsidR="00981922" w:rsidRPr="009632F7" w:rsidRDefault="00981922" w:rsidP="00E94C74">
            <w:pPr>
              <w:spacing w:after="98"/>
              <w:ind w:left="0"/>
              <w:jc w:val="both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B) </w:t>
            </w:r>
            <w:r w:rsidRPr="00981922">
              <w:rPr>
                <w:rFonts w:asciiTheme="minorHAnsi" w:hAnsiTheme="minorHAnsi"/>
                <w:b w:val="0"/>
                <w:i/>
                <w:sz w:val="24"/>
              </w:rPr>
              <w:t>Žiadateľ/partner nie je vlastníkom nehnuteľností</w:t>
            </w:r>
            <w:r>
              <w:rPr>
                <w:rFonts w:asciiTheme="minorHAnsi" w:hAnsiTheme="minorHAnsi"/>
                <w:b w:val="0"/>
                <w:sz w:val="24"/>
              </w:rPr>
              <w:t xml:space="preserve"> (pozemkov alebo stavby), na ktorých má byť realizovaný investičný projekt. V takomto prípade žiadateľ/partner predkladá niektorú z nasledujúcich možností:</w:t>
            </w:r>
          </w:p>
          <w:p w:rsidR="00E94C74" w:rsidRPr="00E94C74" w:rsidRDefault="00E94C74" w:rsidP="00E94C74">
            <w:pPr>
              <w:pStyle w:val="Odsekzoznamu"/>
              <w:numPr>
                <w:ilvl w:val="0"/>
                <w:numId w:val="5"/>
              </w:numPr>
              <w:spacing w:after="118" w:line="240" w:lineRule="auto"/>
              <w:ind w:right="57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>platná zmluva o nájme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- z ktorej vyplýva právo uskutočniť projekt v zmysle žiadosti o NFP (v prípade ak zmluva o nájme resp. dodatok k zmluve o nájme neobsahuje uvedené právo, RO/STS akceptuje aj súhlasné stanovisko prenajímateľa). Takáto zmluva musí byť uzatvorená na dobu v trvaní minimálne 5 rokov po finančnom ukončení projektu alebo uzatvorená na dobu neurčitú.  </w:t>
            </w:r>
          </w:p>
          <w:p w:rsidR="00E94C74" w:rsidRPr="00E94C74" w:rsidRDefault="00E94C74" w:rsidP="00E94C74">
            <w:pPr>
              <w:numPr>
                <w:ilvl w:val="0"/>
                <w:numId w:val="5"/>
              </w:numPr>
              <w:spacing w:after="120" w:line="240" w:lineRule="auto"/>
              <w:ind w:right="57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>platná zmluva o budúcej kúpnej zmluve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- z ktorej vyplýva právo uskutočniť projekt v zmysle žiadosti o NFP pred nadobudnutím vlastníckeho práva k nehnuteľnostiam, na ktorých má byť realizovaný projekt žiadateľom. </w:t>
            </w:r>
          </w:p>
          <w:p w:rsidR="00E94C74" w:rsidRPr="00E94C74" w:rsidRDefault="00E94C74" w:rsidP="00E94C74">
            <w:pPr>
              <w:numPr>
                <w:ilvl w:val="0"/>
                <w:numId w:val="5"/>
              </w:numPr>
              <w:spacing w:after="121" w:line="239" w:lineRule="auto"/>
              <w:ind w:right="57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>platná zmluva o výpožičke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- z ktorej vyplýva právo uskutočniť projekt a právo užívať nehnuteľnosť v súlade s projektom v zmysle žiadosti o NFP. Takáto zmluva musí byť uzatvorená na dobu v trvaní minimálne 5 rokov po finančnom ukončení projektu alebo uzatvorená na dobu neurčitú. </w:t>
            </w:r>
          </w:p>
          <w:p w:rsidR="00E94C74" w:rsidRPr="00E94C74" w:rsidRDefault="00981922" w:rsidP="00E94C74">
            <w:pPr>
              <w:spacing w:after="121" w:line="239" w:lineRule="auto"/>
              <w:ind w:left="0" w:right="55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 w:val="0"/>
                <w:i/>
                <w:sz w:val="24"/>
              </w:rPr>
              <w:t>Príslušný dokument</w:t>
            </w:r>
            <w:r w:rsidR="00E94C74" w:rsidRPr="00E94C74">
              <w:rPr>
                <w:rFonts w:asciiTheme="minorHAnsi" w:hAnsiTheme="minorHAnsi"/>
                <w:b w:val="0"/>
                <w:i/>
                <w:sz w:val="24"/>
              </w:rPr>
              <w:t xml:space="preserve"> mus</w:t>
            </w:r>
            <w:r>
              <w:rPr>
                <w:rFonts w:asciiTheme="minorHAnsi" w:hAnsiTheme="minorHAnsi"/>
                <w:b w:val="0"/>
                <w:i/>
                <w:sz w:val="24"/>
              </w:rPr>
              <w:t>í</w:t>
            </w:r>
            <w:r w:rsidR="00E94C74" w:rsidRPr="00E94C74">
              <w:rPr>
                <w:rFonts w:asciiTheme="minorHAnsi" w:hAnsiTheme="minorHAnsi"/>
                <w:b w:val="0"/>
                <w:i/>
                <w:sz w:val="24"/>
              </w:rPr>
              <w:t xml:space="preserve"> byť predložen</w:t>
            </w:r>
            <w:r>
              <w:rPr>
                <w:rFonts w:asciiTheme="minorHAnsi" w:hAnsiTheme="minorHAnsi"/>
                <w:b w:val="0"/>
                <w:i/>
                <w:sz w:val="24"/>
              </w:rPr>
              <w:t>ý</w:t>
            </w:r>
            <w:r w:rsidR="00E94C74" w:rsidRPr="00E94C74">
              <w:rPr>
                <w:rFonts w:asciiTheme="minorHAnsi" w:hAnsiTheme="minorHAnsi"/>
                <w:b w:val="0"/>
                <w:i/>
                <w:sz w:val="24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sz w:val="24"/>
              </w:rPr>
              <w:t>v termíne</w:t>
            </w:r>
            <w:r w:rsidR="00E94C74" w:rsidRPr="00E94C74">
              <w:rPr>
                <w:rFonts w:asciiTheme="minorHAnsi" w:hAnsiTheme="minorHAnsi"/>
                <w:b w:val="0"/>
                <w:sz w:val="24"/>
              </w:rPr>
              <w:t xml:space="preserve"> uvedenom vo vyzvaní k doloženiu splnenia podmienok poskytnutia príspevku</w:t>
            </w:r>
            <w:r>
              <w:rPr>
                <w:rFonts w:asciiTheme="minorHAnsi" w:hAnsiTheme="minorHAnsi"/>
                <w:b w:val="0"/>
                <w:sz w:val="24"/>
              </w:rPr>
              <w:t>.</w:t>
            </w:r>
            <w:r w:rsidR="00E94C74" w:rsidRPr="00E94C74">
              <w:rPr>
                <w:rFonts w:asciiTheme="minorHAnsi" w:hAnsiTheme="minorHAnsi"/>
                <w:b w:val="0"/>
                <w:i/>
                <w:sz w:val="24"/>
              </w:rPr>
              <w:t xml:space="preserve"> </w:t>
            </w:r>
            <w:r w:rsidR="00541291">
              <w:rPr>
                <w:rFonts w:asciiTheme="minorHAnsi" w:hAnsiTheme="minorHAnsi"/>
                <w:b w:val="0"/>
                <w:sz w:val="24"/>
              </w:rPr>
              <w:t>Vlastníctvo nehnuteľností, na ktoré má žiadateľ/partner iné ako vlastnícke právo sa overuje pracovníkmi STS prostredníctvom verejného portálu Oversi.sk na základe údajov uvedených v prílohe č. 6a Žiadosti o NFP – Čestné prehlásenie partnera.</w:t>
            </w:r>
            <w:r w:rsidR="000565FA">
              <w:rPr>
                <w:rFonts w:asciiTheme="minorHAnsi" w:hAnsiTheme="minorHAnsi"/>
                <w:b w:val="0"/>
                <w:sz w:val="24"/>
              </w:rPr>
              <w:t xml:space="preserve"> Žiadateľ/partner už nie je povinný predkladať listy vlastníctva. </w:t>
            </w:r>
            <w:r w:rsidR="00541291"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  <w:p w:rsidR="00E94C74" w:rsidRPr="00E94C74" w:rsidRDefault="00E94C74" w:rsidP="00E94C74">
            <w:pPr>
              <w:spacing w:after="1" w:line="239" w:lineRule="auto"/>
              <w:ind w:left="0" w:right="58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 xml:space="preserve">Nehnuteľnosti, na ktorých bude projekt realizovaný, nesmú byť zaťažené záložným právom v prospech tretích osôb (a to ani v prípade prenájmu). Výnimku môžu tvoriť prípady, kedy ide o záložné právo v prospech banky za účelom zaistenia úveru na spolufinancovaní projektu. </w:t>
            </w:r>
          </w:p>
          <w:p w:rsidR="00E94C74" w:rsidRPr="00E94C74" w:rsidRDefault="00E94C74" w:rsidP="00E94C74">
            <w:pPr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  <w:p w:rsidR="00E94C74" w:rsidRPr="00E94C74" w:rsidRDefault="00E94C74" w:rsidP="00E94C74">
            <w:pPr>
              <w:spacing w:after="119" w:line="239" w:lineRule="auto"/>
              <w:ind w:left="0" w:right="58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>V prípade, že je projekt realizovaný na pozemkoch s nezisteným</w:t>
            </w:r>
            <w:r w:rsidRPr="00E94C74">
              <w:rPr>
                <w:rFonts w:asciiTheme="minorHAnsi" w:hAnsiTheme="minorHAnsi"/>
                <w:sz w:val="24"/>
              </w:rPr>
              <w:t xml:space="preserve"> </w:t>
            </w:r>
            <w:r w:rsidRPr="00E94C74">
              <w:rPr>
                <w:rFonts w:asciiTheme="minorHAnsi" w:hAnsiTheme="minorHAnsi"/>
                <w:b w:val="0"/>
                <w:i/>
                <w:sz w:val="24"/>
              </w:rPr>
              <w:t>vlastníkom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v zmysle zákona č. 180/1995 Z. z. o niektorých opatreniach na usporiadanie vlastníctva k pozemkom v znení neskorších predpisov žiadateľ/partner predkladá súhlas Slovenského pozemkového fondu, z ktorého vyplýva právo uskutočniť projekt a právo užívať nehnuteľnosť v súlade s projektom. </w:t>
            </w:r>
          </w:p>
          <w:p w:rsidR="00E94C74" w:rsidRDefault="00E94C74" w:rsidP="00E94C74">
            <w:pPr>
              <w:ind w:left="0" w:right="53"/>
              <w:jc w:val="both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i/>
                <w:sz w:val="24"/>
              </w:rPr>
              <w:t>V prípade, ak je projekt realizovaný na pozemku v zastavanom území obce, ktorý je klasifikovaný ako neknihovaný pozemok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v zmysle § 14 zákona č. 180/1995 Z. z. o niektorých opatreniach na usporiadanie vlastníctva k pozemkom v znení neskorších predpisov, a ktorý prešiel dňom účinnosti tohto zákona do vlastníctva obce, na ktorej území sa nachádza, obec ako žiadateľ/partner je povinná predložiť evidenčný list, alebo výpis z pozemkovej knihy preukazujúci skutočnosť, že ide o neknihovaný pozemok a iný dokument preukazujúci právo užívať pozemok (napr. vyjadrenie príslušného katastrálneho úradu). </w:t>
            </w:r>
          </w:p>
          <w:p w:rsidR="00E94C74" w:rsidRPr="00E94C74" w:rsidRDefault="00E94C74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</w:p>
          <w:p w:rsidR="000565FA" w:rsidRDefault="00E94C74" w:rsidP="00A63C37">
            <w:pPr>
              <w:spacing w:after="120"/>
              <w:ind w:left="0" w:right="57"/>
              <w:jc w:val="both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V prípade, že žiadateľ</w:t>
            </w:r>
            <w:r w:rsidR="00463915">
              <w:rPr>
                <w:rFonts w:asciiTheme="minorHAnsi" w:hAnsiTheme="minorHAnsi"/>
                <w:b w:val="0"/>
                <w:sz w:val="24"/>
              </w:rPr>
              <w:t>/partner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plánuje </w:t>
            </w:r>
            <w:r w:rsidRPr="0084015D">
              <w:rPr>
                <w:rFonts w:asciiTheme="minorHAnsi" w:hAnsiTheme="minorHAnsi"/>
                <w:b w:val="0"/>
                <w:i/>
                <w:sz w:val="24"/>
              </w:rPr>
              <w:t>nehnuteľnosť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, ktorej sa projekt týka, </w:t>
            </w:r>
            <w:r w:rsidRPr="0084015D">
              <w:rPr>
                <w:rFonts w:asciiTheme="minorHAnsi" w:hAnsiTheme="minorHAnsi"/>
                <w:b w:val="0"/>
                <w:i/>
                <w:sz w:val="24"/>
              </w:rPr>
              <w:lastRenderedPageBreak/>
              <w:t xml:space="preserve">obstarať v rámci realizácie projektu </w:t>
            </w:r>
            <w:r w:rsidRPr="00E94C74">
              <w:rPr>
                <w:rFonts w:asciiTheme="minorHAnsi" w:hAnsiTheme="minorHAnsi"/>
                <w:b w:val="0"/>
                <w:sz w:val="24"/>
              </w:rPr>
              <w:t>a výdavky na obstaranie nehnuteľnosti sú súčasťou rozpočtu projektu, doloží ako povinnú prílohu</w:t>
            </w:r>
            <w:r w:rsidR="000565FA">
              <w:rPr>
                <w:rFonts w:asciiTheme="minorHAnsi" w:hAnsiTheme="minorHAnsi"/>
                <w:b w:val="0"/>
                <w:sz w:val="24"/>
              </w:rPr>
              <w:t xml:space="preserve"> </w:t>
            </w:r>
            <w:r w:rsidRPr="000565FA">
              <w:rPr>
                <w:rFonts w:asciiTheme="minorHAnsi" w:hAnsiTheme="minorHAnsi"/>
                <w:b w:val="0"/>
                <w:i/>
                <w:sz w:val="24"/>
              </w:rPr>
              <w:t>zmluvu o budúcej kúpnej zmluve či  kúpnu zmluvu uzatvorenú medzi pôvodným majiteľom a žiadateľom ako nadobúdateľom predmetné nehnuteľnosti</w:t>
            </w:r>
            <w:r w:rsidRPr="00E94C74">
              <w:rPr>
                <w:rFonts w:asciiTheme="minorHAnsi" w:hAnsiTheme="minorHAnsi"/>
                <w:b w:val="0"/>
                <w:sz w:val="24"/>
              </w:rPr>
              <w:t>.</w:t>
            </w:r>
            <w:r w:rsidR="000565FA">
              <w:rPr>
                <w:rFonts w:asciiTheme="minorHAnsi" w:hAnsiTheme="minorHAnsi"/>
                <w:b w:val="0"/>
                <w:sz w:val="24"/>
              </w:rPr>
              <w:t xml:space="preserve"> V takomto prípade sa vlastníctvo overuje pracovníkmi STS prostredníctvom verejného portálu Oversi.sk na základe údajov uvedených v prílohe č. 6a Žiadosti o NFP – Čestné prehlásenie partnera. Žiadateľ/partner už nie je povinný predkladať listy vlastníctva.</w:t>
            </w:r>
          </w:p>
          <w:p w:rsidR="00E94C74" w:rsidRPr="00E94C74" w:rsidRDefault="00E94C74" w:rsidP="00E94C74">
            <w:pPr>
              <w:ind w:left="34"/>
              <w:rPr>
                <w:rFonts w:asciiTheme="minorHAnsi" w:hAnsiTheme="minorHAnsi"/>
              </w:rPr>
            </w:pPr>
          </w:p>
        </w:tc>
      </w:tr>
      <w:tr w:rsidR="00E94C74" w:rsidRPr="00E94C74" w:rsidTr="00E94C74">
        <w:tc>
          <w:tcPr>
            <w:tcW w:w="1101" w:type="dxa"/>
          </w:tcPr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016DE4" w:rsidRDefault="00016DE4" w:rsidP="00E94C74">
            <w:pPr>
              <w:ind w:left="284"/>
              <w:rPr>
                <w:rFonts w:asciiTheme="minorHAnsi" w:hAnsiTheme="minorHAnsi"/>
              </w:rPr>
            </w:pPr>
          </w:p>
          <w:p w:rsidR="00016DE4" w:rsidRDefault="00016DE4" w:rsidP="00E94C74">
            <w:pPr>
              <w:ind w:left="284"/>
              <w:rPr>
                <w:rFonts w:asciiTheme="minorHAnsi" w:hAnsiTheme="minorHAnsi"/>
              </w:rPr>
            </w:pPr>
          </w:p>
          <w:p w:rsidR="00016DE4" w:rsidRDefault="00016DE4" w:rsidP="00E94C74">
            <w:pPr>
              <w:ind w:left="284"/>
              <w:rPr>
                <w:rFonts w:asciiTheme="minorHAnsi" w:hAnsiTheme="minorHAnsi"/>
              </w:rPr>
            </w:pPr>
          </w:p>
          <w:p w:rsidR="00016DE4" w:rsidRDefault="00016DE4" w:rsidP="00E94C74">
            <w:pPr>
              <w:ind w:left="284"/>
              <w:rPr>
                <w:rFonts w:asciiTheme="minorHAnsi" w:hAnsiTheme="minorHAnsi"/>
              </w:rPr>
            </w:pPr>
          </w:p>
          <w:p w:rsidR="00016DE4" w:rsidRDefault="00016DE4" w:rsidP="00E94C74">
            <w:pPr>
              <w:ind w:left="284"/>
              <w:rPr>
                <w:rFonts w:asciiTheme="minorHAnsi" w:hAnsiTheme="minorHAnsi"/>
              </w:rPr>
            </w:pPr>
          </w:p>
          <w:p w:rsidR="00016DE4" w:rsidRDefault="00016DE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</w:rPr>
              <w:t>2b.</w:t>
            </w:r>
          </w:p>
        </w:tc>
        <w:tc>
          <w:tcPr>
            <w:tcW w:w="8149" w:type="dxa"/>
          </w:tcPr>
          <w:p w:rsidR="00E94C74" w:rsidRPr="0084015D" w:rsidRDefault="00E94C74" w:rsidP="00E94C74">
            <w:pPr>
              <w:spacing w:after="120"/>
              <w:ind w:left="0" w:right="51"/>
              <w:jc w:val="both"/>
              <w:rPr>
                <w:rFonts w:asciiTheme="minorHAnsi" w:hAnsiTheme="minorHAnsi"/>
                <w:sz w:val="24"/>
              </w:rPr>
            </w:pPr>
            <w:r w:rsidRPr="00E94C74">
              <w:rPr>
                <w:rFonts w:asciiTheme="minorHAnsi" w:hAnsiTheme="minorHAnsi"/>
                <w:sz w:val="24"/>
              </w:rPr>
              <w:t xml:space="preserve">Doklad preukazujúci majetkovo-právne vzťahy (vo vzťahu k realizácii stavebných prác v rámci projektu) pre </w:t>
            </w:r>
            <w:r w:rsidR="00463915">
              <w:rPr>
                <w:rFonts w:asciiTheme="minorHAnsi" w:hAnsiTheme="minorHAnsi"/>
                <w:sz w:val="24"/>
              </w:rPr>
              <w:t>žiadateľov/</w:t>
            </w:r>
            <w:r w:rsidRPr="00E94C74">
              <w:rPr>
                <w:rFonts w:asciiTheme="minorHAnsi" w:hAnsiTheme="minorHAnsi"/>
                <w:sz w:val="24"/>
              </w:rPr>
              <w:t>partnerov z ČR</w:t>
            </w:r>
          </w:p>
          <w:p w:rsidR="00E94C74" w:rsidRPr="00E94C74" w:rsidRDefault="00E94C74" w:rsidP="00E94C74">
            <w:pPr>
              <w:spacing w:after="120"/>
              <w:ind w:left="0" w:right="51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Doklad preukazujúci majetkovo-právne vzťahy (vo vzťahu k realizácii stavebných prác v rámci projektu) – List vlastníctva, výpis z katastru nehnuteľnosti nie starší ako 3 mesiace pred termínom predloženia uvedenom vo vyzvaní k doloženiu splnenia podmienok poskytnutia príspevku. </w:t>
            </w:r>
          </w:p>
          <w:p w:rsidR="00E94C74" w:rsidRPr="00E94C74" w:rsidRDefault="00E94C74" w:rsidP="00E94C74">
            <w:pPr>
              <w:spacing w:after="121" w:line="239" w:lineRule="auto"/>
              <w:ind w:left="0" w:right="53"/>
              <w:jc w:val="both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Nehnuteľnosti (pozemky a stavby), na ktorých budú realizované stavebné práce, reštaurátorské práce v rámci obnovy historických objektov a prípadná obnova zelene musia byť vo výlučnom vlastníctve žiadateľa/partnera, alebo podľa nižšie uvedenej výnimky musí žiadateľ/partner mať k predmetným nehnuteľnostiam iné právo (napr. nájomná zmluva, vecné bremeno, súhlas vlastníka s užívaním nehnuteľnosti pre stanovený účel a stanoveným spôsobom), na základe ktorého je oprávnený stavebné práce uskutočniť. Túto podmienku poskytnutia príspevku musí žiadateľ/partner spĺňať počas realizácie projektu a zároveň počas obdobia udržateľnosti projektu, t. j. 5 rokov po finančnom ukončení projektu.  </w:t>
            </w:r>
          </w:p>
          <w:p w:rsidR="00E94C74" w:rsidRPr="00E94C74" w:rsidRDefault="00E94C74" w:rsidP="00E94C74">
            <w:pPr>
              <w:spacing w:after="98"/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  <w:u w:val="single" w:color="000000"/>
              </w:rPr>
              <w:t>Výnimka: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  <w:p w:rsidR="00E94C74" w:rsidRPr="00E94C74" w:rsidRDefault="00E94C74" w:rsidP="00E94C74">
            <w:pPr>
              <w:spacing w:after="155"/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V ČR sa povinnosť vlastniť nehnuteľnosti netýka projektov: </w:t>
            </w:r>
          </w:p>
          <w:p w:rsidR="00E94C74" w:rsidRPr="00E94C74" w:rsidRDefault="00E94C74" w:rsidP="00E94C74">
            <w:pPr>
              <w:numPr>
                <w:ilvl w:val="0"/>
                <w:numId w:val="2"/>
              </w:numPr>
              <w:spacing w:after="57" w:line="242" w:lineRule="auto"/>
              <w:ind w:right="27" w:hanging="36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zameraných na cesty II. a III. triedy a miestne komunikácie, u ktorých vlastnícke právo automaticky vyplýva z § 9 zákona č. 13/1997 a nie je potrebné ho preukázať.  </w:t>
            </w:r>
          </w:p>
          <w:p w:rsidR="00E94C74" w:rsidRPr="00E94C74" w:rsidRDefault="00E94C74" w:rsidP="00E94C74">
            <w:pPr>
              <w:numPr>
                <w:ilvl w:val="0"/>
                <w:numId w:val="2"/>
              </w:numPr>
              <w:spacing w:after="37" w:line="240" w:lineRule="auto"/>
              <w:ind w:right="27" w:hanging="36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projekty </w:t>
            </w:r>
            <w:r w:rsidRPr="00E94C74">
              <w:rPr>
                <w:rFonts w:asciiTheme="minorHAnsi" w:hAnsiTheme="minorHAnsi"/>
                <w:b w:val="0"/>
                <w:sz w:val="24"/>
              </w:rPr>
              <w:tab/>
              <w:t xml:space="preserve">zamerané </w:t>
            </w:r>
            <w:r w:rsidRPr="00E94C74">
              <w:rPr>
                <w:rFonts w:asciiTheme="minorHAnsi" w:hAnsiTheme="minorHAnsi"/>
                <w:b w:val="0"/>
                <w:sz w:val="24"/>
              </w:rPr>
              <w:tab/>
              <w:t xml:space="preserve">na </w:t>
            </w:r>
            <w:r w:rsidRPr="00E94C74">
              <w:rPr>
                <w:rFonts w:asciiTheme="minorHAnsi" w:hAnsiTheme="minorHAnsi"/>
                <w:b w:val="0"/>
                <w:sz w:val="24"/>
              </w:rPr>
              <w:tab/>
              <w:t xml:space="preserve">vybudovanie/modernizáciu/ rekonštrukciu </w:t>
            </w:r>
            <w:proofErr w:type="spellStart"/>
            <w:r w:rsidRPr="00E94C74">
              <w:rPr>
                <w:rFonts w:asciiTheme="minorHAnsi" w:hAnsiTheme="minorHAnsi"/>
                <w:b w:val="0"/>
                <w:sz w:val="24"/>
              </w:rPr>
              <w:t>cyklochodníkov</w:t>
            </w:r>
            <w:proofErr w:type="spellEnd"/>
            <w:r w:rsidRPr="00E94C74">
              <w:rPr>
                <w:rFonts w:asciiTheme="minorHAnsi" w:hAnsiTheme="minorHAnsi"/>
                <w:b w:val="0"/>
                <w:sz w:val="24"/>
              </w:rPr>
              <w:t xml:space="preserve">, značenie bežeckých a turistických trás, </w:t>
            </w:r>
          </w:p>
          <w:p w:rsidR="00E94C74" w:rsidRPr="00E94C74" w:rsidRDefault="00E94C74" w:rsidP="00E94C74">
            <w:pPr>
              <w:numPr>
                <w:ilvl w:val="0"/>
                <w:numId w:val="2"/>
              </w:numPr>
              <w:spacing w:after="54" w:line="242" w:lineRule="auto"/>
              <w:ind w:right="27" w:hanging="36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stavebné práce zamerané na privedenie inžinierskych sietí (vodovod, kanalizácia, plyn, elektrické vedenie), pokiaľ sú pre realizáciu projektu potrebné; </w:t>
            </w:r>
          </w:p>
          <w:p w:rsidR="00E94C74" w:rsidRPr="00E94C74" w:rsidRDefault="00E94C74" w:rsidP="00E94C74">
            <w:pPr>
              <w:numPr>
                <w:ilvl w:val="0"/>
                <w:numId w:val="2"/>
              </w:numPr>
              <w:spacing w:line="241" w:lineRule="auto"/>
              <w:ind w:right="27" w:hanging="360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ostatné projekty v prípade, že je vlastníkom nehnuteľnosti niektorý z nasledujúcich subjektov: štát, obec, kraj, nimi založená nebo zriadená organizácia, štátny podnik alebo cirkev. </w:t>
            </w:r>
          </w:p>
          <w:p w:rsidR="00E94C74" w:rsidRPr="00E94C74" w:rsidRDefault="00E94C74" w:rsidP="00E94C74">
            <w:pPr>
              <w:ind w:left="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 </w:t>
            </w:r>
          </w:p>
          <w:p w:rsidR="00E94C74" w:rsidRPr="00E94C74" w:rsidRDefault="00E94C74" w:rsidP="00E94C74">
            <w:pPr>
              <w:spacing w:after="121" w:line="239" w:lineRule="auto"/>
              <w:ind w:left="0" w:right="52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Nehnuteľnosti, na ktorých bude projekt realizovaný, nesmú byť zároveň zaťažené </w:t>
            </w:r>
            <w:proofErr w:type="spellStart"/>
            <w:r w:rsidRPr="00E94C74">
              <w:rPr>
                <w:rFonts w:asciiTheme="minorHAnsi" w:hAnsiTheme="minorHAnsi"/>
                <w:b w:val="0"/>
                <w:sz w:val="24"/>
              </w:rPr>
              <w:t>zástavným</w:t>
            </w:r>
            <w:proofErr w:type="spellEnd"/>
            <w:r w:rsidRPr="00E94C74">
              <w:rPr>
                <w:rFonts w:asciiTheme="minorHAnsi" w:hAnsiTheme="minorHAnsi"/>
                <w:b w:val="0"/>
                <w:sz w:val="24"/>
              </w:rPr>
              <w:t xml:space="preserve"> právom v prospech tretích osôb (a to ani v prípade prenájmu). Výnimku môžu tvoriť iba prípady, kedy ide o </w:t>
            </w:r>
            <w:proofErr w:type="spellStart"/>
            <w:r w:rsidRPr="00E94C74">
              <w:rPr>
                <w:rFonts w:asciiTheme="minorHAnsi" w:hAnsiTheme="minorHAnsi"/>
                <w:b w:val="0"/>
                <w:sz w:val="24"/>
              </w:rPr>
              <w:t>zástavne</w:t>
            </w:r>
            <w:proofErr w:type="spellEnd"/>
            <w:r w:rsidRPr="00E94C74">
              <w:rPr>
                <w:rFonts w:asciiTheme="minorHAnsi" w:hAnsiTheme="minorHAnsi"/>
                <w:b w:val="0"/>
                <w:sz w:val="24"/>
              </w:rPr>
              <w:t xml:space="preserve"> právo v prospech banky za účelom zaistenia úveru na spolufinancovanie projektu. </w:t>
            </w:r>
          </w:p>
          <w:p w:rsidR="00E94C74" w:rsidRPr="0084015D" w:rsidRDefault="00E94C74" w:rsidP="00E94C74">
            <w:pPr>
              <w:spacing w:after="98"/>
              <w:ind w:left="0"/>
              <w:rPr>
                <w:rFonts w:asciiTheme="minorHAnsi" w:hAnsiTheme="minorHAnsi"/>
                <w:b w:val="0"/>
                <w:i/>
              </w:rPr>
            </w:pPr>
            <w:r w:rsidRPr="0084015D">
              <w:rPr>
                <w:rFonts w:asciiTheme="minorHAnsi" w:hAnsiTheme="minorHAnsi"/>
                <w:b w:val="0"/>
                <w:i/>
                <w:sz w:val="24"/>
              </w:rPr>
              <w:t xml:space="preserve">Pokiaľ je predmetom nákup nehnuteľnosti </w:t>
            </w:r>
          </w:p>
          <w:p w:rsidR="00E94C74" w:rsidRPr="00E94C74" w:rsidRDefault="00E94C74" w:rsidP="00E94C74">
            <w:pPr>
              <w:spacing w:after="121" w:line="239" w:lineRule="auto"/>
              <w:ind w:left="0" w:right="53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V prípade, že žiadateľ</w:t>
            </w:r>
            <w:r w:rsidR="00463915">
              <w:rPr>
                <w:rFonts w:asciiTheme="minorHAnsi" w:hAnsiTheme="minorHAnsi"/>
                <w:b w:val="0"/>
                <w:sz w:val="24"/>
              </w:rPr>
              <w:t>/partner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plánuje nehnuteľnosť, ktorej sa projekt týka, obstarať v rámci realizácie projektu a výdavky na obstaranie nehnuteľnosti sú </w:t>
            </w:r>
            <w:r w:rsidRPr="00E94C74">
              <w:rPr>
                <w:rFonts w:asciiTheme="minorHAnsi" w:hAnsiTheme="minorHAnsi"/>
                <w:b w:val="0"/>
                <w:sz w:val="24"/>
              </w:rPr>
              <w:lastRenderedPageBreak/>
              <w:t xml:space="preserve">súčasťou rozpočtu projektu, doloží ako prílohu k splneniu podmienok poskytnutia príspevku: </w:t>
            </w:r>
          </w:p>
          <w:p w:rsidR="00E94C74" w:rsidRPr="00E94C74" w:rsidRDefault="00E94C74" w:rsidP="00E94C74">
            <w:pPr>
              <w:numPr>
                <w:ilvl w:val="0"/>
                <w:numId w:val="3"/>
              </w:numPr>
              <w:spacing w:after="121" w:line="239" w:lineRule="auto"/>
              <w:ind w:right="27"/>
              <w:jc w:val="both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výpis z katastra nehnuteľnosti (nesmie byť starší než 3 mesiace pred termínom predloženia uvedenom vo vyzvaní k doloženiu splnenia podmienok poskytnutia príspevku), odkazujúci na meno pôvodného majiteľa, </w:t>
            </w:r>
          </w:p>
          <w:p w:rsidR="00E94C74" w:rsidRPr="00E94C74" w:rsidRDefault="00E94C74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zmluvu o budúcej kúpnej zmluve alebo kúpnu zmluvu uzatvorenú medzi pôvodným majiteľom a</w:t>
            </w:r>
            <w:r w:rsidR="00463915">
              <w:rPr>
                <w:rFonts w:asciiTheme="minorHAnsi" w:hAnsiTheme="minorHAnsi"/>
                <w:b w:val="0"/>
                <w:sz w:val="24"/>
              </w:rPr>
              <w:t> </w:t>
            </w:r>
            <w:r w:rsidRPr="00E94C74">
              <w:rPr>
                <w:rFonts w:asciiTheme="minorHAnsi" w:hAnsiTheme="minorHAnsi"/>
                <w:b w:val="0"/>
                <w:sz w:val="24"/>
              </w:rPr>
              <w:t>žiadateľom</w:t>
            </w:r>
            <w:r w:rsidR="00463915">
              <w:rPr>
                <w:rFonts w:asciiTheme="minorHAnsi" w:hAnsiTheme="minorHAnsi"/>
                <w:b w:val="0"/>
                <w:sz w:val="24"/>
              </w:rPr>
              <w:t>/partnerov</w:t>
            </w:r>
            <w:r w:rsidRPr="00E94C74">
              <w:rPr>
                <w:rFonts w:asciiTheme="minorHAnsi" w:hAnsiTheme="minorHAnsi"/>
                <w:b w:val="0"/>
                <w:sz w:val="24"/>
              </w:rPr>
              <w:t xml:space="preserve"> ako nadobúdateľom predmetnej nehnuteľnosti.</w:t>
            </w:r>
          </w:p>
          <w:p w:rsidR="00E94C74" w:rsidRPr="00E94C74" w:rsidRDefault="00E94C74" w:rsidP="00E94C74">
            <w:pPr>
              <w:ind w:left="0"/>
              <w:rPr>
                <w:rFonts w:asciiTheme="minorHAnsi" w:hAnsiTheme="minorHAnsi"/>
              </w:rPr>
            </w:pPr>
          </w:p>
        </w:tc>
      </w:tr>
      <w:tr w:rsidR="00E94C74" w:rsidRPr="00E94C74" w:rsidTr="00E94C74">
        <w:tc>
          <w:tcPr>
            <w:tcW w:w="1101" w:type="dxa"/>
          </w:tcPr>
          <w:p w:rsidR="00E94C74" w:rsidRPr="00E94C74" w:rsidRDefault="00E94C74" w:rsidP="00E94C74">
            <w:pPr>
              <w:ind w:left="142"/>
              <w:rPr>
                <w:rFonts w:asciiTheme="minorHAnsi" w:hAnsiTheme="minorHAnsi"/>
              </w:rPr>
            </w:pPr>
          </w:p>
          <w:p w:rsidR="0084015D" w:rsidRDefault="0084015D" w:rsidP="0084015D">
            <w:pPr>
              <w:ind w:left="0"/>
              <w:rPr>
                <w:rFonts w:asciiTheme="minorHAnsi" w:hAnsiTheme="minorHAnsi"/>
              </w:rPr>
            </w:pPr>
          </w:p>
          <w:p w:rsidR="00E94C74" w:rsidRPr="00E94C74" w:rsidRDefault="0084015D" w:rsidP="0084015D">
            <w:pPr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</w:t>
            </w:r>
            <w:r w:rsidR="00E94C74" w:rsidRPr="00E94C74">
              <w:rPr>
                <w:rFonts w:asciiTheme="minorHAnsi" w:hAnsiTheme="minorHAnsi"/>
              </w:rPr>
              <w:t>3.</w:t>
            </w:r>
          </w:p>
        </w:tc>
        <w:tc>
          <w:tcPr>
            <w:tcW w:w="8149" w:type="dxa"/>
          </w:tcPr>
          <w:p w:rsidR="0084015D" w:rsidRPr="0084015D" w:rsidRDefault="0084015D" w:rsidP="00E94C74">
            <w:pPr>
              <w:spacing w:after="123" w:line="238" w:lineRule="auto"/>
              <w:ind w:left="0"/>
              <w:jc w:val="both"/>
              <w:rPr>
                <w:rFonts w:asciiTheme="minorHAnsi" w:hAnsiTheme="minorHAnsi"/>
                <w:sz w:val="24"/>
              </w:rPr>
            </w:pPr>
            <w:r w:rsidRPr="0084015D">
              <w:rPr>
                <w:rFonts w:asciiTheme="minorHAnsi" w:hAnsiTheme="minorHAnsi"/>
                <w:sz w:val="24"/>
              </w:rPr>
              <w:t>Stavebné povolenie</w:t>
            </w:r>
            <w:r w:rsidR="00E94C74" w:rsidRPr="0084015D">
              <w:rPr>
                <w:rFonts w:asciiTheme="minorHAnsi" w:hAnsiTheme="minorHAnsi"/>
                <w:sz w:val="24"/>
              </w:rPr>
              <w:t xml:space="preserve"> </w:t>
            </w:r>
            <w:r w:rsidRPr="0084015D">
              <w:rPr>
                <w:rFonts w:asciiTheme="minorHAnsi" w:hAnsiTheme="minorHAnsi"/>
                <w:sz w:val="24"/>
              </w:rPr>
              <w:t>pre partnerov zo SR a ČR</w:t>
            </w:r>
          </w:p>
          <w:p w:rsidR="00E94C74" w:rsidRPr="0084015D" w:rsidRDefault="0084015D" w:rsidP="00E94C74">
            <w:pPr>
              <w:spacing w:after="123" w:line="238" w:lineRule="auto"/>
              <w:ind w:left="0"/>
              <w:jc w:val="both"/>
              <w:rPr>
                <w:rFonts w:asciiTheme="minorHAnsi" w:hAnsiTheme="minorHAnsi"/>
              </w:rPr>
            </w:pPr>
            <w:r w:rsidRPr="0084015D">
              <w:rPr>
                <w:rFonts w:asciiTheme="minorHAnsi" w:hAnsiTheme="minorHAnsi"/>
                <w:b w:val="0"/>
                <w:sz w:val="24"/>
              </w:rPr>
              <w:t xml:space="preserve">Stavebné povolenie sú partneri povinní dodať </w:t>
            </w:r>
            <w:r w:rsidR="00E94C74" w:rsidRPr="0084015D">
              <w:rPr>
                <w:rFonts w:asciiTheme="minorHAnsi" w:hAnsiTheme="minorHAnsi"/>
                <w:b w:val="0"/>
                <w:sz w:val="24"/>
              </w:rPr>
              <w:t>najneskôr do pol roka od vydania rozhodnutia o schválení žiadosti o NFP</w:t>
            </w:r>
            <w:r w:rsidR="001538F7">
              <w:rPr>
                <w:rStyle w:val="Odkaznapoznmkupodiarou"/>
                <w:rFonts w:asciiTheme="minorHAnsi" w:hAnsiTheme="minorHAnsi"/>
                <w:b w:val="0"/>
                <w:sz w:val="24"/>
              </w:rPr>
              <w:footnoteReference w:id="1"/>
            </w:r>
            <w:r w:rsidR="00E94C74" w:rsidRPr="0084015D">
              <w:rPr>
                <w:rFonts w:asciiTheme="minorHAnsi" w:hAnsiTheme="minorHAnsi"/>
                <w:b w:val="0"/>
                <w:sz w:val="24"/>
              </w:rPr>
              <w:t xml:space="preserve"> (ak neboli súčasťou žiadosti o NFP)</w:t>
            </w:r>
            <w:r w:rsidRPr="0084015D">
              <w:rPr>
                <w:rFonts w:asciiTheme="minorHAnsi" w:hAnsiTheme="minorHAnsi"/>
                <w:b w:val="0"/>
                <w:sz w:val="24"/>
              </w:rPr>
              <w:t>.</w:t>
            </w:r>
            <w:r w:rsidR="00592C4D">
              <w:rPr>
                <w:rFonts w:asciiTheme="minorHAnsi" w:hAnsiTheme="minorHAnsi"/>
                <w:b w:val="0"/>
                <w:sz w:val="24"/>
              </w:rPr>
              <w:t xml:space="preserve"> Riadiaci orgán môže v odôvodnených prípadoch túto lehotu predĺžiť.</w:t>
            </w:r>
          </w:p>
          <w:p w:rsidR="00E94C74" w:rsidRPr="00E94C74" w:rsidRDefault="00E94C74" w:rsidP="0084015D">
            <w:pPr>
              <w:spacing w:after="98"/>
              <w:ind w:left="0"/>
              <w:rPr>
                <w:rFonts w:asciiTheme="minorHAnsi" w:hAnsiTheme="minorHAnsi"/>
              </w:rPr>
            </w:pPr>
          </w:p>
        </w:tc>
      </w:tr>
      <w:tr w:rsidR="00E94C74" w:rsidRPr="00E94C74" w:rsidTr="00E94C74">
        <w:tc>
          <w:tcPr>
            <w:tcW w:w="1101" w:type="dxa"/>
          </w:tcPr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</w:p>
          <w:p w:rsidR="00E94C74" w:rsidRPr="00E94C74" w:rsidRDefault="00E94C74" w:rsidP="00E94C74">
            <w:pPr>
              <w:ind w:left="284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</w:rPr>
              <w:t>4.</w:t>
            </w:r>
          </w:p>
        </w:tc>
        <w:tc>
          <w:tcPr>
            <w:tcW w:w="8149" w:type="dxa"/>
          </w:tcPr>
          <w:p w:rsidR="00E94C74" w:rsidRPr="00E94C74" w:rsidRDefault="00E94C74" w:rsidP="00E94C74">
            <w:pPr>
              <w:ind w:left="0"/>
              <w:rPr>
                <w:rFonts w:asciiTheme="minorHAnsi" w:hAnsiTheme="minorHAnsi"/>
                <w:sz w:val="24"/>
                <w:u w:val="single" w:color="000000"/>
              </w:rPr>
            </w:pPr>
            <w:r w:rsidRPr="00E94C74">
              <w:rPr>
                <w:rFonts w:asciiTheme="minorHAnsi" w:hAnsiTheme="minorHAnsi"/>
                <w:sz w:val="24"/>
                <w:u w:val="single" w:color="000000"/>
              </w:rPr>
              <w:t xml:space="preserve">Doklad o tom, že </w:t>
            </w:r>
            <w:r w:rsidR="00463915">
              <w:rPr>
                <w:rFonts w:asciiTheme="minorHAnsi" w:hAnsiTheme="minorHAnsi"/>
                <w:sz w:val="24"/>
                <w:u w:val="single" w:color="000000"/>
              </w:rPr>
              <w:t>žiadateľ/</w:t>
            </w:r>
            <w:r w:rsidRPr="00E94C74">
              <w:rPr>
                <w:rFonts w:asciiTheme="minorHAnsi" w:hAnsiTheme="minorHAnsi"/>
                <w:sz w:val="24"/>
                <w:u w:val="single" w:color="000000"/>
              </w:rPr>
              <w:t>partner nie je dlžníkom</w:t>
            </w:r>
          </w:p>
          <w:p w:rsidR="00592C4D" w:rsidRDefault="00592C4D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</w:p>
          <w:p w:rsidR="00C17074" w:rsidRDefault="00C17074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Podmienky bezdlžnosti sú overované v prípade </w:t>
            </w:r>
            <w:r w:rsidR="00463915">
              <w:rPr>
                <w:rFonts w:asciiTheme="minorHAnsi" w:hAnsiTheme="minorHAnsi"/>
                <w:b w:val="0"/>
                <w:sz w:val="24"/>
              </w:rPr>
              <w:t>žiadateľov/</w:t>
            </w:r>
            <w:r>
              <w:rPr>
                <w:rFonts w:asciiTheme="minorHAnsi" w:hAnsiTheme="minorHAnsi"/>
                <w:b w:val="0"/>
                <w:sz w:val="24"/>
              </w:rPr>
              <w:t>partnerov zo SR prostredníctvom verejných registrov, resp. z monitorovacieho systému ITMS2014+ alebo z čestného prehlásenia. Jedná sa o nasledovné podmienky:</w:t>
            </w:r>
          </w:p>
          <w:p w:rsidR="00C17074" w:rsidRDefault="00C17074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</w:p>
          <w:p w:rsidR="00C17074" w:rsidRDefault="00C17074" w:rsidP="00C17074">
            <w:pPr>
              <w:pStyle w:val="Odsekzoznamu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potvrdenie miestne príslušného správcu dane</w:t>
            </w:r>
          </w:p>
          <w:p w:rsidR="00C17074" w:rsidRDefault="00C17074" w:rsidP="00C17074">
            <w:pPr>
              <w:pStyle w:val="Odsekzoznamu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potvrdenie Sociálnej poisťovne</w:t>
            </w:r>
          </w:p>
          <w:p w:rsidR="00C17074" w:rsidRPr="00C17074" w:rsidRDefault="00C17074" w:rsidP="00C17074">
            <w:pPr>
              <w:pStyle w:val="Odsekzoznamu"/>
              <w:numPr>
                <w:ilvl w:val="0"/>
                <w:numId w:val="6"/>
              </w:numPr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potvrdenie každej zdravotnej poisťovne</w:t>
            </w:r>
            <w:r>
              <w:rPr>
                <w:rFonts w:asciiTheme="minorHAnsi" w:hAnsiTheme="minorHAnsi"/>
                <w:b w:val="0"/>
                <w:sz w:val="24"/>
              </w:rPr>
              <w:t>, ktorá je v SR registrovaná</w:t>
            </w:r>
          </w:p>
          <w:p w:rsidR="00104CBA" w:rsidRDefault="00104CBA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</w:p>
          <w:p w:rsidR="00C17074" w:rsidRDefault="00C17074" w:rsidP="00C170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Podmienky bezdlžnosti sú overované v prípade </w:t>
            </w:r>
            <w:r w:rsidR="00463915">
              <w:rPr>
                <w:rFonts w:asciiTheme="minorHAnsi" w:hAnsiTheme="minorHAnsi"/>
                <w:b w:val="0"/>
                <w:sz w:val="24"/>
              </w:rPr>
              <w:t>žiadateľov/</w:t>
            </w:r>
            <w:r>
              <w:rPr>
                <w:rFonts w:asciiTheme="minorHAnsi" w:hAnsiTheme="minorHAnsi"/>
                <w:b w:val="0"/>
                <w:sz w:val="24"/>
              </w:rPr>
              <w:t>partnerov z ČR prostredníctvom čestného prehlásenia. Jedná sa o nasledovné podmienky:</w:t>
            </w:r>
          </w:p>
          <w:p w:rsidR="00C17074" w:rsidRDefault="00C17074" w:rsidP="00C170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</w:p>
          <w:p w:rsidR="00C17074" w:rsidRPr="0084015D" w:rsidRDefault="00C17074" w:rsidP="00C17074">
            <w:pPr>
              <w:numPr>
                <w:ilvl w:val="0"/>
                <w:numId w:val="4"/>
              </w:numPr>
              <w:spacing w:after="19" w:line="240" w:lineRule="auto"/>
              <w:ind w:hanging="360"/>
              <w:rPr>
                <w:rFonts w:asciiTheme="minorHAnsi" w:hAnsiTheme="minorHAnsi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 xml:space="preserve">potvrdenie Správy </w:t>
            </w:r>
            <w:proofErr w:type="spellStart"/>
            <w:r w:rsidRPr="00E94C74">
              <w:rPr>
                <w:rFonts w:asciiTheme="minorHAnsi" w:hAnsiTheme="minorHAnsi"/>
                <w:b w:val="0"/>
                <w:sz w:val="24"/>
              </w:rPr>
              <w:t>sociálního</w:t>
            </w:r>
            <w:proofErr w:type="spellEnd"/>
            <w:r w:rsidRPr="00E94C74">
              <w:rPr>
                <w:rFonts w:asciiTheme="minorHAnsi" w:hAnsiTheme="minorHAnsi"/>
                <w:b w:val="0"/>
                <w:sz w:val="24"/>
              </w:rPr>
              <w:t xml:space="preserve"> zabezpečení </w:t>
            </w:r>
          </w:p>
          <w:p w:rsidR="00C17074" w:rsidRDefault="00C17074" w:rsidP="00C17074">
            <w:pPr>
              <w:numPr>
                <w:ilvl w:val="0"/>
                <w:numId w:val="4"/>
              </w:numPr>
              <w:spacing w:after="19" w:line="240" w:lineRule="auto"/>
              <w:ind w:hanging="360"/>
              <w:rPr>
                <w:rFonts w:asciiTheme="minorHAnsi" w:hAnsiTheme="minorHAnsi"/>
                <w:b w:val="0"/>
                <w:sz w:val="24"/>
              </w:rPr>
            </w:pPr>
            <w:r w:rsidRPr="00E94C74">
              <w:rPr>
                <w:rFonts w:asciiTheme="minorHAnsi" w:hAnsiTheme="minorHAnsi"/>
                <w:b w:val="0"/>
                <w:sz w:val="24"/>
              </w:rPr>
              <w:t>potvrdenie každej zdravotnej poisťovne</w:t>
            </w:r>
            <w:r>
              <w:rPr>
                <w:rFonts w:asciiTheme="minorHAnsi" w:hAnsiTheme="minorHAnsi"/>
                <w:b w:val="0"/>
                <w:sz w:val="24"/>
              </w:rPr>
              <w:t xml:space="preserve">, ktorá je v ČR registrovaná,   </w:t>
            </w:r>
          </w:p>
          <w:p w:rsidR="00C17074" w:rsidRDefault="00C17074" w:rsidP="00E94C74">
            <w:pPr>
              <w:ind w:left="0"/>
              <w:rPr>
                <w:rFonts w:asciiTheme="minorHAnsi" w:hAnsiTheme="minorHAnsi"/>
                <w:b w:val="0"/>
                <w:sz w:val="24"/>
              </w:rPr>
            </w:pPr>
          </w:p>
          <w:p w:rsidR="00C17074" w:rsidRPr="00C17074" w:rsidRDefault="00463915" w:rsidP="00C17074">
            <w:pPr>
              <w:spacing w:after="20" w:line="240" w:lineRule="auto"/>
              <w:ind w:left="0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b w:val="0"/>
                <w:i/>
                <w:sz w:val="24"/>
              </w:rPr>
              <w:t>Žiadateľ/p</w:t>
            </w:r>
            <w:r w:rsidR="00C17074" w:rsidRPr="00C17074">
              <w:rPr>
                <w:rFonts w:asciiTheme="minorHAnsi" w:hAnsiTheme="minorHAnsi"/>
                <w:b w:val="0"/>
                <w:i/>
                <w:sz w:val="24"/>
              </w:rPr>
              <w:t xml:space="preserve">artner z ČR je povinný predložiť na základe vyzvania potvrdenie miestne príslušného </w:t>
            </w:r>
            <w:proofErr w:type="spellStart"/>
            <w:r w:rsidR="00C17074" w:rsidRPr="00C17074">
              <w:rPr>
                <w:rFonts w:asciiTheme="minorHAnsi" w:hAnsiTheme="minorHAnsi"/>
                <w:b w:val="0"/>
                <w:i/>
                <w:sz w:val="24"/>
              </w:rPr>
              <w:t>finančního</w:t>
            </w:r>
            <w:proofErr w:type="spellEnd"/>
            <w:r w:rsidR="00C17074" w:rsidRPr="00C17074">
              <w:rPr>
                <w:rFonts w:asciiTheme="minorHAnsi" w:hAnsiTheme="minorHAnsi"/>
                <w:b w:val="0"/>
                <w:i/>
                <w:sz w:val="24"/>
              </w:rPr>
              <w:t xml:space="preserve"> </w:t>
            </w:r>
            <w:proofErr w:type="spellStart"/>
            <w:r w:rsidR="00C17074" w:rsidRPr="00C17074">
              <w:rPr>
                <w:rFonts w:asciiTheme="minorHAnsi" w:hAnsiTheme="minorHAnsi"/>
                <w:b w:val="0"/>
                <w:i/>
                <w:sz w:val="24"/>
              </w:rPr>
              <w:t>úřadu</w:t>
            </w:r>
            <w:proofErr w:type="spellEnd"/>
            <w:r w:rsidR="00C17074" w:rsidRPr="00C17074">
              <w:rPr>
                <w:rFonts w:asciiTheme="minorHAnsi" w:hAnsiTheme="minorHAnsi"/>
                <w:b w:val="0"/>
                <w:i/>
                <w:sz w:val="24"/>
              </w:rPr>
              <w:t xml:space="preserve">.  </w:t>
            </w:r>
          </w:p>
          <w:p w:rsidR="00C17074" w:rsidRDefault="00C17074" w:rsidP="00592C4D">
            <w:pPr>
              <w:ind w:left="0"/>
              <w:jc w:val="both"/>
              <w:rPr>
                <w:rFonts w:asciiTheme="minorHAnsi" w:hAnsiTheme="minorHAnsi"/>
                <w:b w:val="0"/>
                <w:sz w:val="24"/>
              </w:rPr>
            </w:pPr>
          </w:p>
          <w:p w:rsidR="00E94C74" w:rsidRPr="0084015D" w:rsidRDefault="00C17074" w:rsidP="00C17074">
            <w:pPr>
              <w:ind w:left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 w:val="0"/>
                <w:sz w:val="24"/>
              </w:rPr>
              <w:t xml:space="preserve">Konkrétne potvrdenia </w:t>
            </w:r>
            <w:r w:rsidR="00463915">
              <w:rPr>
                <w:rFonts w:asciiTheme="minorHAnsi" w:hAnsiTheme="minorHAnsi"/>
                <w:b w:val="0"/>
                <w:sz w:val="24"/>
              </w:rPr>
              <w:t>žiadateľ/</w:t>
            </w:r>
            <w:r>
              <w:rPr>
                <w:rFonts w:asciiTheme="minorHAnsi" w:hAnsiTheme="minorHAnsi"/>
                <w:b w:val="0"/>
                <w:sz w:val="24"/>
              </w:rPr>
              <w:t>partner pred</w:t>
            </w:r>
            <w:r w:rsidR="00592C4D" w:rsidRPr="00592C4D">
              <w:rPr>
                <w:rFonts w:asciiTheme="minorHAnsi" w:hAnsiTheme="minorHAnsi"/>
                <w:b w:val="0"/>
                <w:sz w:val="24"/>
              </w:rPr>
              <w:t xml:space="preserve">kladá </w:t>
            </w:r>
            <w:r w:rsidR="001F72DE">
              <w:rPr>
                <w:rFonts w:asciiTheme="minorHAnsi" w:hAnsiTheme="minorHAnsi"/>
                <w:b w:val="0"/>
                <w:sz w:val="24"/>
              </w:rPr>
              <w:t>iba</w:t>
            </w:r>
            <w:r w:rsidR="00592C4D" w:rsidRPr="00592C4D">
              <w:rPr>
                <w:rFonts w:asciiTheme="minorHAnsi" w:hAnsiTheme="minorHAnsi"/>
                <w:b w:val="0"/>
                <w:sz w:val="24"/>
              </w:rPr>
              <w:t xml:space="preserve"> v prípade, ak nebude </w:t>
            </w:r>
            <w:r w:rsidR="00592C4D">
              <w:rPr>
                <w:rFonts w:asciiTheme="minorHAnsi" w:hAnsiTheme="minorHAnsi"/>
                <w:b w:val="0"/>
                <w:sz w:val="24"/>
              </w:rPr>
              <w:t>možné overiť podmienky bezdlžnosti žiadateľa/partnera v rámci verejne dostupných registrov</w:t>
            </w:r>
            <w:r w:rsidR="00104CBA">
              <w:rPr>
                <w:rFonts w:asciiTheme="minorHAnsi" w:hAnsiTheme="minorHAnsi"/>
                <w:b w:val="0"/>
                <w:sz w:val="24"/>
              </w:rPr>
              <w:t>, resp. nebude postačovať čestné prehlásenie</w:t>
            </w:r>
            <w:r w:rsidR="00592C4D">
              <w:rPr>
                <w:rFonts w:asciiTheme="minorHAnsi" w:hAnsiTheme="minorHAnsi"/>
                <w:b w:val="0"/>
                <w:sz w:val="24"/>
              </w:rPr>
              <w:t>. Riadiaci orgán si vyhradzuje právo vyžiadať si uvedené potvrdenia v prípade potreby</w:t>
            </w:r>
            <w:r w:rsidR="001F72DE">
              <w:rPr>
                <w:rFonts w:asciiTheme="minorHAnsi" w:hAnsiTheme="minorHAnsi"/>
                <w:b w:val="0"/>
                <w:sz w:val="24"/>
              </w:rPr>
              <w:t xml:space="preserve">, a to najmä od </w:t>
            </w:r>
            <w:r w:rsidR="00463915">
              <w:rPr>
                <w:rFonts w:asciiTheme="minorHAnsi" w:hAnsiTheme="minorHAnsi"/>
                <w:b w:val="0"/>
                <w:sz w:val="24"/>
              </w:rPr>
              <w:t>žiadateľov/</w:t>
            </w:r>
            <w:r w:rsidR="001F72DE">
              <w:rPr>
                <w:rFonts w:asciiTheme="minorHAnsi" w:hAnsiTheme="minorHAnsi"/>
                <w:b w:val="0"/>
                <w:sz w:val="24"/>
              </w:rPr>
              <w:t>partnerov z ČR</w:t>
            </w:r>
            <w:r w:rsidR="00592C4D">
              <w:rPr>
                <w:rFonts w:asciiTheme="minorHAnsi" w:hAnsiTheme="minorHAnsi"/>
                <w:b w:val="0"/>
                <w:sz w:val="24"/>
              </w:rPr>
              <w:t xml:space="preserve">. </w:t>
            </w:r>
            <w:r w:rsidR="00592C4D" w:rsidRPr="0084015D">
              <w:rPr>
                <w:rFonts w:asciiTheme="minorHAnsi" w:hAnsiTheme="minorHAnsi"/>
                <w:b w:val="0"/>
                <w:sz w:val="24"/>
              </w:rPr>
              <w:t xml:space="preserve">   </w:t>
            </w:r>
          </w:p>
        </w:tc>
      </w:tr>
    </w:tbl>
    <w:p w:rsidR="00583236" w:rsidRPr="00E94C74" w:rsidRDefault="00583236" w:rsidP="0084015D">
      <w:pPr>
        <w:ind w:left="0"/>
        <w:rPr>
          <w:rFonts w:asciiTheme="minorHAnsi" w:hAnsiTheme="minorHAnsi"/>
        </w:rPr>
      </w:pPr>
    </w:p>
    <w:sectPr w:rsidR="00583236" w:rsidRPr="00E94C74" w:rsidSect="0084015D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5BF" w:rsidRDefault="007535BF" w:rsidP="00E94C74">
      <w:pPr>
        <w:spacing w:line="240" w:lineRule="auto"/>
      </w:pPr>
      <w:r>
        <w:separator/>
      </w:r>
    </w:p>
  </w:endnote>
  <w:endnote w:type="continuationSeparator" w:id="0">
    <w:p w:rsidR="007535BF" w:rsidRDefault="007535BF" w:rsidP="00E94C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5BF" w:rsidRDefault="007535BF" w:rsidP="00E94C74">
      <w:pPr>
        <w:spacing w:line="240" w:lineRule="auto"/>
      </w:pPr>
      <w:r>
        <w:separator/>
      </w:r>
    </w:p>
  </w:footnote>
  <w:footnote w:type="continuationSeparator" w:id="0">
    <w:p w:rsidR="007535BF" w:rsidRDefault="007535BF" w:rsidP="00E94C74">
      <w:pPr>
        <w:spacing w:line="240" w:lineRule="auto"/>
      </w:pPr>
      <w:r>
        <w:continuationSeparator/>
      </w:r>
    </w:p>
  </w:footnote>
  <w:footnote w:id="1">
    <w:p w:rsidR="001538F7" w:rsidRDefault="001538F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538F7">
        <w:rPr>
          <w:b w:val="0"/>
        </w:rPr>
        <w:t>Ak Riadiaci orgán neurčí vo výzve na predkladanie žiadostí o NFP inak.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C74" w:rsidRDefault="00E94C74" w:rsidP="00E94C74">
    <w:pPr>
      <w:pStyle w:val="Hlavika"/>
      <w:jc w:val="right"/>
    </w:pPr>
    <w:r>
      <w:rPr>
        <w:b w:val="0"/>
        <w:sz w:val="20"/>
      </w:rPr>
      <w:t>Príloha č. 7 k Manuálu prípravy a implementácie projektu/ časť pre žiadateľa</w:t>
    </w:r>
  </w:p>
  <w:p w:rsidR="00E94C74" w:rsidRDefault="00E94C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E242A"/>
    <w:multiLevelType w:val="hybridMultilevel"/>
    <w:tmpl w:val="1A601F8A"/>
    <w:lvl w:ilvl="0" w:tplc="9E209E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A6C0B"/>
    <w:multiLevelType w:val="hybridMultilevel"/>
    <w:tmpl w:val="7C88F8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C297F"/>
    <w:multiLevelType w:val="hybridMultilevel"/>
    <w:tmpl w:val="75A24008"/>
    <w:lvl w:ilvl="0" w:tplc="C5DAE506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6EF1E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5C1FB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8A142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CE6F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805F4A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52D5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2F65C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A45168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4E7A5E"/>
    <w:multiLevelType w:val="hybridMultilevel"/>
    <w:tmpl w:val="6CB82DBE"/>
    <w:lvl w:ilvl="0" w:tplc="3E8CEFCE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226E30">
      <w:start w:val="1"/>
      <w:numFmt w:val="bullet"/>
      <w:lvlText w:val="o"/>
      <w:lvlJc w:val="left"/>
      <w:pPr>
        <w:ind w:left="1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4AE84">
      <w:start w:val="1"/>
      <w:numFmt w:val="bullet"/>
      <w:lvlText w:val="▪"/>
      <w:lvlJc w:val="left"/>
      <w:pPr>
        <w:ind w:left="2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9652B6">
      <w:start w:val="1"/>
      <w:numFmt w:val="bullet"/>
      <w:lvlText w:val="•"/>
      <w:lvlJc w:val="left"/>
      <w:pPr>
        <w:ind w:left="3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1E4B4E">
      <w:start w:val="1"/>
      <w:numFmt w:val="bullet"/>
      <w:lvlText w:val="o"/>
      <w:lvlJc w:val="left"/>
      <w:pPr>
        <w:ind w:left="3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964D78">
      <w:start w:val="1"/>
      <w:numFmt w:val="bullet"/>
      <w:lvlText w:val="▪"/>
      <w:lvlJc w:val="left"/>
      <w:pPr>
        <w:ind w:left="44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B8933C">
      <w:start w:val="1"/>
      <w:numFmt w:val="bullet"/>
      <w:lvlText w:val="•"/>
      <w:lvlJc w:val="left"/>
      <w:pPr>
        <w:ind w:left="52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902B7C">
      <w:start w:val="1"/>
      <w:numFmt w:val="bullet"/>
      <w:lvlText w:val="o"/>
      <w:lvlJc w:val="left"/>
      <w:pPr>
        <w:ind w:left="59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E86FBC">
      <w:start w:val="1"/>
      <w:numFmt w:val="bullet"/>
      <w:lvlText w:val="▪"/>
      <w:lvlJc w:val="left"/>
      <w:pPr>
        <w:ind w:left="66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502A99"/>
    <w:multiLevelType w:val="hybridMultilevel"/>
    <w:tmpl w:val="F4E80F96"/>
    <w:lvl w:ilvl="0" w:tplc="6B109E16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2E860">
      <w:start w:val="1"/>
      <w:numFmt w:val="bullet"/>
      <w:lvlText w:val="o"/>
      <w:lvlJc w:val="left"/>
      <w:pPr>
        <w:ind w:left="1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54B024">
      <w:start w:val="1"/>
      <w:numFmt w:val="bullet"/>
      <w:lvlText w:val="▪"/>
      <w:lvlJc w:val="left"/>
      <w:pPr>
        <w:ind w:left="2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FCD8EA">
      <w:start w:val="1"/>
      <w:numFmt w:val="bullet"/>
      <w:lvlText w:val="•"/>
      <w:lvlJc w:val="left"/>
      <w:pPr>
        <w:ind w:left="3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027BD2">
      <w:start w:val="1"/>
      <w:numFmt w:val="bullet"/>
      <w:lvlText w:val="o"/>
      <w:lvlJc w:val="left"/>
      <w:pPr>
        <w:ind w:left="3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884400">
      <w:start w:val="1"/>
      <w:numFmt w:val="bullet"/>
      <w:lvlText w:val="▪"/>
      <w:lvlJc w:val="left"/>
      <w:pPr>
        <w:ind w:left="4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D0BD82">
      <w:start w:val="1"/>
      <w:numFmt w:val="bullet"/>
      <w:lvlText w:val="•"/>
      <w:lvlJc w:val="left"/>
      <w:pPr>
        <w:ind w:left="5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32ECDC">
      <w:start w:val="1"/>
      <w:numFmt w:val="bullet"/>
      <w:lvlText w:val="o"/>
      <w:lvlJc w:val="left"/>
      <w:pPr>
        <w:ind w:left="5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82347A">
      <w:start w:val="1"/>
      <w:numFmt w:val="bullet"/>
      <w:lvlText w:val="▪"/>
      <w:lvlJc w:val="left"/>
      <w:pPr>
        <w:ind w:left="6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6A3F6D"/>
    <w:multiLevelType w:val="hybridMultilevel"/>
    <w:tmpl w:val="ED6CCBF6"/>
    <w:lvl w:ilvl="0" w:tplc="1BF00D3E">
      <w:start w:val="2"/>
      <w:numFmt w:val="decimal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9EFADE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080168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50CB98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06DAE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3CE3C4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0AD6C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6ECF2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DE6972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74"/>
    <w:rsid w:val="00011CAB"/>
    <w:rsid w:val="00016DE4"/>
    <w:rsid w:val="000565FA"/>
    <w:rsid w:val="00072B58"/>
    <w:rsid w:val="00104CBA"/>
    <w:rsid w:val="00151D30"/>
    <w:rsid w:val="001538F7"/>
    <w:rsid w:val="001F72DE"/>
    <w:rsid w:val="00235D9B"/>
    <w:rsid w:val="00256266"/>
    <w:rsid w:val="00463915"/>
    <w:rsid w:val="00541291"/>
    <w:rsid w:val="00583236"/>
    <w:rsid w:val="00592C4D"/>
    <w:rsid w:val="006D7785"/>
    <w:rsid w:val="007535BF"/>
    <w:rsid w:val="007C6EB4"/>
    <w:rsid w:val="0084015D"/>
    <w:rsid w:val="009632F7"/>
    <w:rsid w:val="00981922"/>
    <w:rsid w:val="00A26AF4"/>
    <w:rsid w:val="00A63C37"/>
    <w:rsid w:val="00A71747"/>
    <w:rsid w:val="00B35CBA"/>
    <w:rsid w:val="00BA7056"/>
    <w:rsid w:val="00C17074"/>
    <w:rsid w:val="00C47075"/>
    <w:rsid w:val="00D41F9A"/>
    <w:rsid w:val="00E9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DAB19-1AA1-46A2-9B06-241E2935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4C74"/>
    <w:pPr>
      <w:spacing w:after="0" w:line="259" w:lineRule="auto"/>
      <w:ind w:left="847"/>
    </w:pPr>
    <w:rPr>
      <w:rFonts w:ascii="Arial" w:eastAsia="Arial" w:hAnsi="Arial" w:cs="Arial"/>
      <w:b/>
      <w:color w:val="000000"/>
      <w:sz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9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4C7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4C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4C74"/>
    <w:rPr>
      <w:rFonts w:ascii="Tahoma" w:eastAsia="Arial" w:hAnsi="Tahoma" w:cs="Tahoma"/>
      <w:b/>
      <w:color w:val="000000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94C7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94C74"/>
    <w:rPr>
      <w:rFonts w:ascii="Arial" w:eastAsia="Arial" w:hAnsi="Arial" w:cs="Arial"/>
      <w:b/>
      <w:color w:val="000000"/>
      <w:sz w:val="2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94C7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94C74"/>
    <w:rPr>
      <w:rFonts w:ascii="Arial" w:eastAsia="Arial" w:hAnsi="Arial" w:cs="Arial"/>
      <w:b/>
      <w:color w:val="000000"/>
      <w:sz w:val="28"/>
      <w:lang w:eastAsia="sk-SK"/>
    </w:rPr>
  </w:style>
  <w:style w:type="paragraph" w:styleId="Odsekzoznamu">
    <w:name w:val="List Paragraph"/>
    <w:basedOn w:val="Normlny"/>
    <w:uiPriority w:val="34"/>
    <w:qFormat/>
    <w:rsid w:val="00E94C74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538F7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538F7"/>
    <w:rPr>
      <w:rFonts w:ascii="Arial" w:eastAsia="Arial" w:hAnsi="Arial" w:cs="Arial"/>
      <w:b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38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930B7-D5BB-4DDC-9203-75351A1E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Meliorisová Dáša</dc:creator>
  <cp:lastModifiedBy>Štrbková, Michaela</cp:lastModifiedBy>
  <cp:revision>18</cp:revision>
  <dcterms:created xsi:type="dcterms:W3CDTF">2017-09-07T11:56:00Z</dcterms:created>
  <dcterms:modified xsi:type="dcterms:W3CDTF">2021-06-02T07:20:00Z</dcterms:modified>
</cp:coreProperties>
</file>